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23" w:rsidRDefault="0082664F">
      <w:pPr>
        <w:rPr>
          <w:b/>
          <w:sz w:val="28"/>
          <w:u w:val="single"/>
        </w:rPr>
      </w:pPr>
      <w:r>
        <w:rPr>
          <w:b/>
          <w:sz w:val="32"/>
          <w:u w:val="single"/>
        </w:rPr>
        <w:t>DATA QUALITY STATEMENT</w:t>
      </w:r>
    </w:p>
    <w:p w:rsidR="00685A23" w:rsidRDefault="0082664F">
      <w:pPr>
        <w:rPr>
          <w:b/>
          <w:sz w:val="28"/>
        </w:rPr>
      </w:pPr>
      <w:r>
        <w:rPr>
          <w:b/>
          <w:sz w:val="28"/>
        </w:rPr>
        <w:t>20</w:t>
      </w:r>
      <w:r w:rsidR="001E0D72">
        <w:rPr>
          <w:b/>
          <w:sz w:val="28"/>
        </w:rPr>
        <w:t>11</w:t>
      </w:r>
      <w:r w:rsidR="007D17BF">
        <w:rPr>
          <w:b/>
          <w:sz w:val="28"/>
        </w:rPr>
        <w:t>-2006</w:t>
      </w:r>
      <w:r w:rsidR="001E0D72">
        <w:rPr>
          <w:b/>
          <w:sz w:val="28"/>
        </w:rPr>
        <w:t xml:space="preserve"> </w:t>
      </w:r>
      <w:r>
        <w:rPr>
          <w:b/>
          <w:sz w:val="28"/>
        </w:rPr>
        <w:t>Census Tract Conversion File</w:t>
      </w:r>
    </w:p>
    <w:p w:rsidR="00685A23" w:rsidRDefault="00685A23">
      <w:pPr>
        <w:rPr>
          <w:b/>
          <w:sz w:val="28"/>
        </w:rPr>
      </w:pPr>
    </w:p>
    <w:p w:rsidR="00685A23" w:rsidRDefault="0082664F">
      <w:r>
        <w:rPr>
          <w:b/>
        </w:rPr>
        <w:t>Introduction</w:t>
      </w:r>
    </w:p>
    <w:p w:rsidR="00685A23" w:rsidRDefault="00685A23">
      <w:pPr>
        <w:rPr>
          <w:rFonts w:ascii="ESRI US Forestry 2" w:hAnsi="ESRI US Forestry 2"/>
        </w:rPr>
      </w:pPr>
    </w:p>
    <w:p w:rsidR="00685A23" w:rsidRDefault="0082664F">
      <w:r>
        <w:t xml:space="preserve">The </w:t>
      </w:r>
      <w:r w:rsidR="001E0D72">
        <w:t>2011</w:t>
      </w:r>
      <w:r>
        <w:t xml:space="preserve"> Census Tract Conversion File is a digital file</w:t>
      </w:r>
      <w:r w:rsidR="005021B9">
        <w:t>,</w:t>
      </w:r>
      <w:r>
        <w:t xml:space="preserve"> </w:t>
      </w:r>
      <w:r w:rsidR="005021B9">
        <w:t xml:space="preserve">in Microsoft Excel format, </w:t>
      </w:r>
      <w:r>
        <w:t>containing the sp</w:t>
      </w:r>
      <w:r w:rsidR="001E0D72">
        <w:t>atial relationships between the</w:t>
      </w:r>
      <w:r>
        <w:t xml:space="preserve"> </w:t>
      </w:r>
      <w:r w:rsidR="001E0D72">
        <w:t>c</w:t>
      </w:r>
      <w:r>
        <w:t xml:space="preserve">ensus </w:t>
      </w:r>
      <w:r w:rsidR="001E0D72">
        <w:t>t</w:t>
      </w:r>
      <w:r>
        <w:t>racts</w:t>
      </w:r>
      <w:r w:rsidR="001E0D72">
        <w:t xml:space="preserve"> (CTs) established for the current census (2011) </w:t>
      </w:r>
      <w:r>
        <w:t xml:space="preserve">and the corresponding </w:t>
      </w:r>
      <w:r w:rsidR="001E0D72">
        <w:t>CTs</w:t>
      </w:r>
      <w:r>
        <w:t xml:space="preserve"> </w:t>
      </w:r>
      <w:r w:rsidR="001E0D72">
        <w:t>that were in place for the previous census (2006)</w:t>
      </w:r>
      <w:r>
        <w:t>.</w:t>
      </w:r>
      <w:r w:rsidR="005021B9">
        <w:t xml:space="preserve">  The Excel workbook contains three worksheets:</w:t>
      </w:r>
    </w:p>
    <w:p w:rsidR="005021B9" w:rsidRDefault="005021B9"/>
    <w:p w:rsidR="005021B9" w:rsidRDefault="005021B9">
      <w:r>
        <w:t>2011_2006_CT_conversion_all: contains all 2011 CTs and their 2006 components</w:t>
      </w:r>
    </w:p>
    <w:p w:rsidR="005021B9" w:rsidRDefault="005021B9">
      <w:r>
        <w:t>2011_CT_new: contains all 2011 CTs that are new for the 2011 Census</w:t>
      </w:r>
    </w:p>
    <w:p w:rsidR="005021B9" w:rsidRDefault="005021B9">
      <w:r>
        <w:t>2011_CT_deleted: contains all 2006 CTs that have been deleted for the 2011 Census</w:t>
      </w:r>
    </w:p>
    <w:p w:rsidR="00685A23" w:rsidRDefault="00685A23"/>
    <w:p w:rsidR="00685A23" w:rsidRDefault="0082664F">
      <w:pPr>
        <w:rPr>
          <w:b/>
        </w:rPr>
      </w:pPr>
      <w:r>
        <w:rPr>
          <w:b/>
        </w:rPr>
        <w:t>Lineage</w:t>
      </w:r>
    </w:p>
    <w:p w:rsidR="00685A23" w:rsidRDefault="00685A23"/>
    <w:p w:rsidR="00685A23" w:rsidRDefault="0082664F">
      <w:r>
        <w:t xml:space="preserve">The Census Tract Conversion File was generated </w:t>
      </w:r>
      <w:r w:rsidR="001E0D72">
        <w:t>following</w:t>
      </w:r>
      <w:r>
        <w:t xml:space="preserve"> the </w:t>
      </w:r>
      <w:r w:rsidR="001E0D72">
        <w:t>finalization</w:t>
      </w:r>
      <w:r>
        <w:t xml:space="preserve"> of </w:t>
      </w:r>
      <w:r w:rsidR="001E0D72">
        <w:t>census tract</w:t>
      </w:r>
      <w:r>
        <w:t xml:space="preserve"> (CT) boundaries for the </w:t>
      </w:r>
      <w:r w:rsidR="001E0D72">
        <w:t>2011</w:t>
      </w:r>
      <w:r>
        <w:t xml:space="preserve"> Census, </w:t>
      </w:r>
      <w:r w:rsidR="00314D04">
        <w:t xml:space="preserve">which </w:t>
      </w:r>
      <w:proofErr w:type="gramStart"/>
      <w:r w:rsidR="00314D04">
        <w:t>were</w:t>
      </w:r>
      <w:proofErr w:type="gramEnd"/>
      <w:r w:rsidR="00314D04">
        <w:t xml:space="preserve"> effective on or before January 1, 2011</w:t>
      </w:r>
      <w:r>
        <w:t xml:space="preserve">.  </w:t>
      </w:r>
      <w:r w:rsidR="00314D04">
        <w:t>New</w:t>
      </w:r>
      <w:r>
        <w:t xml:space="preserve"> CTs were based on the Census Tract Program’s delineation criteria.  </w:t>
      </w:r>
      <w:r w:rsidR="00314D04">
        <w:t xml:space="preserve">Boundary </w:t>
      </w:r>
      <w:r w:rsidR="005021B9">
        <w:t>updates resulted</w:t>
      </w:r>
      <w:r w:rsidR="00314D04">
        <w:t xml:space="preserve"> </w:t>
      </w:r>
      <w:r>
        <w:t xml:space="preserve">from splitting </w:t>
      </w:r>
      <w:r w:rsidR="00314D04">
        <w:t>CTs</w:t>
      </w:r>
      <w:r>
        <w:t xml:space="preserve">, </w:t>
      </w:r>
      <w:r w:rsidR="00314D04">
        <w:t>c</w:t>
      </w:r>
      <w:r>
        <w:t xml:space="preserve">ensus </w:t>
      </w:r>
      <w:r w:rsidR="00314D04">
        <w:t>s</w:t>
      </w:r>
      <w:r>
        <w:t xml:space="preserve">ubdivision </w:t>
      </w:r>
      <w:r w:rsidR="00314D04">
        <w:t xml:space="preserve">(CSD) boundary </w:t>
      </w:r>
      <w:r>
        <w:t xml:space="preserve">changes, </w:t>
      </w:r>
      <w:r w:rsidR="00314D04">
        <w:t xml:space="preserve">census metropolitan area and census agglomeration updates, </w:t>
      </w:r>
      <w:r>
        <w:t xml:space="preserve">and other </w:t>
      </w:r>
      <w:r w:rsidR="00314D04">
        <w:t xml:space="preserve">geometric </w:t>
      </w:r>
      <w:r>
        <w:t>revision</w:t>
      </w:r>
      <w:r w:rsidR="00314D04">
        <w:t>s</w:t>
      </w:r>
      <w:r>
        <w:t xml:space="preserve"> </w:t>
      </w:r>
      <w:r w:rsidR="00314D04">
        <w:t>to Statistics Canada’s National Geographic Database (NGD)</w:t>
      </w:r>
      <w:r>
        <w:t>.</w:t>
      </w:r>
    </w:p>
    <w:p w:rsidR="00685A23" w:rsidRDefault="00685A23"/>
    <w:p w:rsidR="00685A23" w:rsidRDefault="0082664F">
      <w:r>
        <w:rPr>
          <w:b/>
        </w:rPr>
        <w:t>Positional Accuracy</w:t>
      </w:r>
    </w:p>
    <w:p w:rsidR="00685A23" w:rsidRDefault="00685A23"/>
    <w:p w:rsidR="00685A23" w:rsidRDefault="0082664F">
      <w:r>
        <w:t>Not applicable</w:t>
      </w:r>
    </w:p>
    <w:p w:rsidR="00685A23" w:rsidRDefault="00685A23"/>
    <w:p w:rsidR="00685A23" w:rsidRDefault="00685A23"/>
    <w:p w:rsidR="00685A23" w:rsidRDefault="0082664F">
      <w:r>
        <w:rPr>
          <w:b/>
        </w:rPr>
        <w:t>Attribute Accuracy</w:t>
      </w:r>
    </w:p>
    <w:p w:rsidR="00685A23" w:rsidRDefault="00685A23"/>
    <w:p w:rsidR="00685A23" w:rsidRDefault="0082664F">
      <w:r>
        <w:t>The CT Conversion File was certified against reports generated from the SDI CT maintenance table.  All CMA/CA Codes and CT names found on the CT Conversion file were determined to be valid and active on the CT maintenance table</w:t>
      </w:r>
      <w:r w:rsidR="00314D04">
        <w:t xml:space="preserve"> and on the Warehouse CT table used for dissemination</w:t>
      </w:r>
      <w:r w:rsidR="005021B9">
        <w:t xml:space="preserve"> (vintage is June 2011)</w:t>
      </w:r>
      <w:r>
        <w:t xml:space="preserve">.  </w:t>
      </w:r>
      <w:r w:rsidR="00314D04">
        <w:t>For simplicity, t</w:t>
      </w:r>
      <w:r>
        <w:t xml:space="preserve">he provincial residual areas </w:t>
      </w:r>
      <w:r w:rsidR="00314D04">
        <w:t xml:space="preserve">(areas of the province that does not contain census tracts) </w:t>
      </w:r>
      <w:r>
        <w:t xml:space="preserve">were assigned values of 0000 rather than their true value on the </w:t>
      </w:r>
      <w:r w:rsidR="00314D04">
        <w:t xml:space="preserve">Warehouse </w:t>
      </w:r>
      <w:r>
        <w:t xml:space="preserve">CT table.  </w:t>
      </w:r>
    </w:p>
    <w:p w:rsidR="00685A23" w:rsidRDefault="00685A23"/>
    <w:p w:rsidR="00685A23" w:rsidRDefault="00685A23"/>
    <w:p w:rsidR="00685A23" w:rsidRDefault="0082664F">
      <w:r>
        <w:rPr>
          <w:b/>
        </w:rPr>
        <w:t>Logical Consistency</w:t>
      </w:r>
    </w:p>
    <w:p w:rsidR="00685A23" w:rsidRDefault="00685A23"/>
    <w:p w:rsidR="00685A23" w:rsidRDefault="0082664F">
      <w:r>
        <w:t>All checks were made against the SDI CT maintenance table</w:t>
      </w:r>
      <w:r w:rsidR="005021B9">
        <w:t xml:space="preserve"> and Warehouse CT table</w:t>
      </w:r>
      <w:r>
        <w:t>.  The CT Conversion File was certified to ensure that a CT transaction exi</w:t>
      </w:r>
      <w:r w:rsidR="00314D04">
        <w:t xml:space="preserve">sted for all records on the </w:t>
      </w:r>
      <w:r>
        <w:t xml:space="preserve">CT </w:t>
      </w:r>
      <w:r w:rsidR="00314D04">
        <w:t>t</w:t>
      </w:r>
      <w:r>
        <w:t xml:space="preserve">able were the ABNDFLAG = T and/or the ADDFLAG = T.  </w:t>
      </w:r>
    </w:p>
    <w:p w:rsidR="00685A23" w:rsidRDefault="00685A23"/>
    <w:p w:rsidR="00685A23" w:rsidRDefault="0082664F">
      <w:r>
        <w:rPr>
          <w:b/>
        </w:rPr>
        <w:t>Completeness</w:t>
      </w:r>
    </w:p>
    <w:p w:rsidR="00685A23" w:rsidRDefault="00685A23"/>
    <w:p w:rsidR="00685A23" w:rsidRDefault="0082664F">
      <w:pPr>
        <w:pStyle w:val="BodyText"/>
      </w:pPr>
      <w:r>
        <w:t xml:space="preserve">The file contains </w:t>
      </w:r>
      <w:r w:rsidR="005021B9">
        <w:t>5,452</w:t>
      </w:r>
      <w:r>
        <w:t xml:space="preserve"> records</w:t>
      </w:r>
      <w:r w:rsidR="005021B9">
        <w:t>, one record for each CT in Canada</w:t>
      </w:r>
      <w:r>
        <w:t xml:space="preserve">.  </w:t>
      </w:r>
      <w:r w:rsidR="005021B9">
        <w:t>Changes are summarized as follows:</w:t>
      </w:r>
    </w:p>
    <w:p w:rsidR="005021B9" w:rsidRPr="005021B9" w:rsidRDefault="005021B9" w:rsidP="005021B9">
      <w:pPr>
        <w:pStyle w:val="BodyText"/>
        <w:numPr>
          <w:ilvl w:val="0"/>
          <w:numId w:val="4"/>
        </w:numPr>
        <w:rPr>
          <w:lang w:val="en-CA"/>
        </w:rPr>
      </w:pPr>
      <w:r w:rsidRPr="005021B9">
        <w:rPr>
          <w:lang w:val="en-CA"/>
        </w:rPr>
        <w:t>646 CTs are new for 2011</w:t>
      </w:r>
    </w:p>
    <w:p w:rsidR="005021B9" w:rsidRPr="005021B9" w:rsidRDefault="005021B9" w:rsidP="005021B9">
      <w:pPr>
        <w:pStyle w:val="BodyText"/>
        <w:numPr>
          <w:ilvl w:val="0"/>
          <w:numId w:val="4"/>
        </w:numPr>
        <w:rPr>
          <w:lang w:val="en-CA"/>
        </w:rPr>
      </w:pPr>
      <w:r w:rsidRPr="005021B9">
        <w:rPr>
          <w:lang w:val="en-CA"/>
        </w:rPr>
        <w:t>270 CTs were deleted between 2006 and 2011</w:t>
      </w:r>
    </w:p>
    <w:p w:rsidR="005021B9" w:rsidRPr="005021B9" w:rsidRDefault="005021B9" w:rsidP="005021B9">
      <w:pPr>
        <w:pStyle w:val="BodyText"/>
        <w:numPr>
          <w:ilvl w:val="0"/>
          <w:numId w:val="4"/>
        </w:numPr>
        <w:rPr>
          <w:lang w:val="en-CA"/>
        </w:rPr>
      </w:pPr>
      <w:r w:rsidRPr="005021B9">
        <w:rPr>
          <w:lang w:val="en-CA"/>
        </w:rPr>
        <w:t>185 CTs had a boundary change between 2006 and 2011</w:t>
      </w:r>
    </w:p>
    <w:p w:rsidR="00685A23" w:rsidRDefault="00685A23"/>
    <w:p w:rsidR="00685A23" w:rsidRDefault="0082664F">
      <w:r>
        <w:rPr>
          <w:b/>
        </w:rPr>
        <w:t>Technical</w:t>
      </w:r>
    </w:p>
    <w:p w:rsidR="00685A23" w:rsidRDefault="00685A23"/>
    <w:p w:rsidR="00685A23" w:rsidRDefault="0082664F">
      <w:r>
        <w:t xml:space="preserve">The file is in Microsoft Excel, </w:t>
      </w:r>
      <w:r w:rsidR="005021B9">
        <w:t xml:space="preserve">97-2003 </w:t>
      </w:r>
      <w:proofErr w:type="gramStart"/>
      <w:r w:rsidR="005021B9">
        <w:t>format</w:t>
      </w:r>
      <w:proofErr w:type="gramEnd"/>
      <w:r>
        <w:t xml:space="preserve">.  The file is represented as a </w:t>
      </w:r>
      <w:r w:rsidR="005021B9">
        <w:t>six</w:t>
      </w:r>
      <w:r>
        <w:t>-column spread sheet with the following headings:</w:t>
      </w:r>
    </w:p>
    <w:p w:rsidR="00685A23" w:rsidRDefault="00685A23"/>
    <w:p w:rsidR="00685A23" w:rsidRDefault="00685A23"/>
    <w:p w:rsidR="00685A23" w:rsidRPr="005021B9" w:rsidRDefault="0082664F">
      <w:pPr>
        <w:ind w:firstLine="720"/>
        <w:rPr>
          <w:lang w:val="en-CA"/>
        </w:rPr>
      </w:pPr>
      <w:r w:rsidRPr="005021B9">
        <w:rPr>
          <w:lang w:val="en-CA"/>
        </w:rPr>
        <w:t>CMA/CA Code</w:t>
      </w:r>
      <w:r w:rsidR="005021B9" w:rsidRPr="005021B9">
        <w:rPr>
          <w:lang w:val="en-CA"/>
        </w:rPr>
        <w:t xml:space="preserve"> (contains the code that is associated with the 2011 CMA or CA)</w:t>
      </w:r>
    </w:p>
    <w:p w:rsidR="00685A23" w:rsidRPr="005021B9" w:rsidRDefault="0082664F">
      <w:pPr>
        <w:ind w:firstLine="720"/>
        <w:rPr>
          <w:lang w:val="en-CA"/>
        </w:rPr>
      </w:pPr>
      <w:r w:rsidRPr="005021B9">
        <w:rPr>
          <w:lang w:val="en-CA"/>
        </w:rPr>
        <w:t>CMA/CA Name</w:t>
      </w:r>
      <w:r w:rsidR="005021B9" w:rsidRPr="005021B9">
        <w:rPr>
          <w:lang w:val="en-CA"/>
        </w:rPr>
        <w:t xml:space="preserve"> (contains the official name of the 2011 CMA or CA)</w:t>
      </w:r>
    </w:p>
    <w:p w:rsidR="00685A23" w:rsidRDefault="0082664F">
      <w:pPr>
        <w:ind w:firstLine="720"/>
      </w:pPr>
      <w:r>
        <w:t>20</w:t>
      </w:r>
      <w:r w:rsidR="005021B9">
        <w:t>11</w:t>
      </w:r>
      <w:r>
        <w:t xml:space="preserve"> </w:t>
      </w:r>
      <w:r w:rsidR="005021B9">
        <w:t>(contains the official name of the 2011 CT)</w:t>
      </w:r>
    </w:p>
    <w:p w:rsidR="00685A23" w:rsidRDefault="005021B9">
      <w:pPr>
        <w:ind w:firstLine="720"/>
      </w:pPr>
      <w:r>
        <w:t>200</w:t>
      </w:r>
      <w:r w:rsidR="0082664F">
        <w:t xml:space="preserve">6 </w:t>
      </w:r>
      <w:r>
        <w:t>(contains the official name of the 2006 CT that is associated with the 2011 CT)</w:t>
      </w:r>
    </w:p>
    <w:p w:rsidR="00685A23" w:rsidRDefault="00685A23"/>
    <w:p w:rsidR="00685A23" w:rsidRDefault="00685A23"/>
    <w:p w:rsidR="00685A23" w:rsidRDefault="0082664F">
      <w:r>
        <w:t>Legend:</w:t>
      </w:r>
    </w:p>
    <w:p w:rsidR="00685A23" w:rsidRDefault="00685A23"/>
    <w:p w:rsidR="00685A23" w:rsidRPr="00050A09" w:rsidRDefault="0082664F">
      <w:pPr>
        <w:pStyle w:val="a"/>
        <w:widowControl/>
        <w:numPr>
          <w:ilvl w:val="0"/>
          <w:numId w:val="1"/>
        </w:numPr>
        <w:tabs>
          <w:tab w:val="left" w:pos="-720"/>
        </w:tabs>
        <w:rPr>
          <w:sz w:val="20"/>
        </w:rPr>
      </w:pPr>
      <w:r w:rsidRPr="00050A09">
        <w:rPr>
          <w:sz w:val="20"/>
        </w:rPr>
        <w:t>‘ * ‘</w:t>
      </w:r>
      <w:r w:rsidRPr="00050A09">
        <w:rPr>
          <w:sz w:val="20"/>
        </w:rPr>
        <w:tab/>
        <w:t>part of</w:t>
      </w:r>
    </w:p>
    <w:p w:rsidR="00685A23" w:rsidRDefault="00685A23">
      <w:pPr>
        <w:tabs>
          <w:tab w:val="left" w:pos="-720"/>
        </w:tabs>
        <w:ind w:left="720"/>
      </w:pPr>
    </w:p>
    <w:p w:rsidR="00050A09" w:rsidRDefault="00050A09">
      <w:pPr>
        <w:tabs>
          <w:tab w:val="left" w:pos="-720"/>
        </w:tabs>
        <w:ind w:left="720"/>
      </w:pPr>
      <w:r>
        <w:t>Example:</w:t>
      </w:r>
    </w:p>
    <w:tbl>
      <w:tblPr>
        <w:tblStyle w:val="TableGrid"/>
        <w:tblW w:w="0" w:type="auto"/>
        <w:tblInd w:w="720" w:type="dxa"/>
        <w:tblLook w:val="04A0"/>
      </w:tblPr>
      <w:tblGrid>
        <w:gridCol w:w="1516"/>
        <w:gridCol w:w="1342"/>
        <w:gridCol w:w="1328"/>
        <w:gridCol w:w="1328"/>
        <w:gridCol w:w="1311"/>
        <w:gridCol w:w="1311"/>
      </w:tblGrid>
      <w:tr w:rsidR="00050A09" w:rsidTr="00050A09">
        <w:tc>
          <w:tcPr>
            <w:tcW w:w="1516" w:type="dxa"/>
            <w:vAlign w:val="bottom"/>
          </w:tcPr>
          <w:p w:rsidR="00050A09" w:rsidRDefault="00050A0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CMA/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CACode</w:t>
            </w:r>
            <w:proofErr w:type="spellEnd"/>
          </w:p>
        </w:tc>
        <w:tc>
          <w:tcPr>
            <w:tcW w:w="1342" w:type="dxa"/>
            <w:vAlign w:val="bottom"/>
          </w:tcPr>
          <w:p w:rsidR="00050A09" w:rsidRDefault="00050A0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CMA/CA Name</w:t>
            </w:r>
          </w:p>
        </w:tc>
        <w:tc>
          <w:tcPr>
            <w:tcW w:w="1328" w:type="dxa"/>
            <w:vAlign w:val="bottom"/>
          </w:tcPr>
          <w:p w:rsidR="00050A09" w:rsidRDefault="00050A0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2011</w:t>
            </w:r>
          </w:p>
        </w:tc>
        <w:tc>
          <w:tcPr>
            <w:tcW w:w="1328" w:type="dxa"/>
            <w:vAlign w:val="bottom"/>
          </w:tcPr>
          <w:p w:rsidR="00050A09" w:rsidRDefault="00050A0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2006</w:t>
            </w:r>
          </w:p>
        </w:tc>
        <w:tc>
          <w:tcPr>
            <w:tcW w:w="1311" w:type="dxa"/>
          </w:tcPr>
          <w:p w:rsidR="00050A09" w:rsidRDefault="00050A09">
            <w:pPr>
              <w:tabs>
                <w:tab w:val="left" w:pos="-720"/>
              </w:tabs>
            </w:pPr>
          </w:p>
        </w:tc>
        <w:tc>
          <w:tcPr>
            <w:tcW w:w="1311" w:type="dxa"/>
          </w:tcPr>
          <w:p w:rsidR="00050A09" w:rsidRDefault="00050A09">
            <w:pPr>
              <w:tabs>
                <w:tab w:val="left" w:pos="-720"/>
              </w:tabs>
            </w:pPr>
          </w:p>
        </w:tc>
      </w:tr>
      <w:tr w:rsidR="00050A09" w:rsidTr="00050A09">
        <w:tc>
          <w:tcPr>
            <w:tcW w:w="1516" w:type="dxa"/>
            <w:vAlign w:val="bottom"/>
          </w:tcPr>
          <w:p w:rsidR="00050A09" w:rsidRDefault="00050A0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205</w:t>
            </w:r>
          </w:p>
        </w:tc>
        <w:tc>
          <w:tcPr>
            <w:tcW w:w="1342" w:type="dxa"/>
            <w:vAlign w:val="bottom"/>
          </w:tcPr>
          <w:p w:rsidR="00050A09" w:rsidRDefault="00050A0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Halifax</w:t>
            </w:r>
          </w:p>
        </w:tc>
        <w:tc>
          <w:tcPr>
            <w:tcW w:w="1328" w:type="dxa"/>
            <w:vAlign w:val="bottom"/>
          </w:tcPr>
          <w:p w:rsidR="00050A09" w:rsidRDefault="00050A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  <w:tc>
          <w:tcPr>
            <w:tcW w:w="1328" w:type="dxa"/>
            <w:vAlign w:val="bottom"/>
          </w:tcPr>
          <w:p w:rsidR="00050A09" w:rsidRDefault="00050A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</w:tc>
        <w:tc>
          <w:tcPr>
            <w:tcW w:w="1311" w:type="dxa"/>
          </w:tcPr>
          <w:p w:rsidR="00050A09" w:rsidRDefault="00050A09">
            <w:pPr>
              <w:tabs>
                <w:tab w:val="left" w:pos="-720"/>
              </w:tabs>
            </w:pPr>
          </w:p>
        </w:tc>
        <w:tc>
          <w:tcPr>
            <w:tcW w:w="1311" w:type="dxa"/>
          </w:tcPr>
          <w:p w:rsidR="00050A09" w:rsidRDefault="00050A09">
            <w:pPr>
              <w:tabs>
                <w:tab w:val="left" w:pos="-720"/>
              </w:tabs>
            </w:pPr>
          </w:p>
        </w:tc>
      </w:tr>
      <w:tr w:rsidR="00050A09" w:rsidTr="001542E1">
        <w:tc>
          <w:tcPr>
            <w:tcW w:w="1516" w:type="dxa"/>
            <w:vAlign w:val="bottom"/>
          </w:tcPr>
          <w:p w:rsidR="00050A09" w:rsidRDefault="00050A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2" w:type="dxa"/>
            <w:vAlign w:val="bottom"/>
          </w:tcPr>
          <w:p w:rsidR="00050A09" w:rsidRDefault="00050A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8" w:type="dxa"/>
            <w:vAlign w:val="bottom"/>
          </w:tcPr>
          <w:p w:rsidR="00050A09" w:rsidRDefault="00050A09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0121.03</w:t>
            </w:r>
          </w:p>
        </w:tc>
        <w:tc>
          <w:tcPr>
            <w:tcW w:w="1328" w:type="dxa"/>
            <w:vAlign w:val="bottom"/>
          </w:tcPr>
          <w:p w:rsidR="00050A09" w:rsidRDefault="00050A09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0121.03</w:t>
            </w:r>
          </w:p>
        </w:tc>
        <w:tc>
          <w:tcPr>
            <w:tcW w:w="1311" w:type="dxa"/>
            <w:vAlign w:val="bottom"/>
          </w:tcPr>
          <w:p w:rsidR="00050A09" w:rsidRDefault="00050A09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0150.02*</w:t>
            </w:r>
          </w:p>
        </w:tc>
        <w:tc>
          <w:tcPr>
            <w:tcW w:w="1311" w:type="dxa"/>
          </w:tcPr>
          <w:p w:rsidR="00050A09" w:rsidRDefault="00050A09">
            <w:pPr>
              <w:tabs>
                <w:tab w:val="left" w:pos="-720"/>
              </w:tabs>
            </w:pPr>
          </w:p>
        </w:tc>
      </w:tr>
    </w:tbl>
    <w:p w:rsidR="00050A09" w:rsidRDefault="00050A09">
      <w:pPr>
        <w:tabs>
          <w:tab w:val="left" w:pos="-720"/>
        </w:tabs>
        <w:ind w:left="720"/>
      </w:pPr>
    </w:p>
    <w:p w:rsidR="00685A23" w:rsidRPr="00050A09" w:rsidRDefault="0082664F" w:rsidP="00050A09">
      <w:pPr>
        <w:tabs>
          <w:tab w:val="left" w:pos="-720"/>
        </w:tabs>
        <w:ind w:left="720"/>
      </w:pPr>
      <w:r w:rsidRPr="00050A09">
        <w:t xml:space="preserve">In the CMA of </w:t>
      </w:r>
      <w:r w:rsidR="00050A09">
        <w:t>Halifax</w:t>
      </w:r>
      <w:r w:rsidRPr="00050A09">
        <w:t xml:space="preserve">, CT </w:t>
      </w:r>
      <w:r w:rsidR="00050A09">
        <w:rPr>
          <w:rFonts w:ascii="MS Sans Serif" w:hAnsi="MS Sans Serif"/>
        </w:rPr>
        <w:t xml:space="preserve">0121.03 </w:t>
      </w:r>
      <w:r w:rsidRPr="00050A09">
        <w:t>in 20</w:t>
      </w:r>
      <w:r w:rsidR="00050A09">
        <w:t>1</w:t>
      </w:r>
      <w:r w:rsidRPr="00050A09">
        <w:t xml:space="preserve">1 is made up of the </w:t>
      </w:r>
      <w:r w:rsidR="00050A09">
        <w:t xml:space="preserve">same </w:t>
      </w:r>
      <w:r w:rsidRPr="00050A09">
        <w:t xml:space="preserve">area as in </w:t>
      </w:r>
      <w:r w:rsidR="00050A09">
        <w:t>2006</w:t>
      </w:r>
      <w:r w:rsidRPr="00050A09">
        <w:t xml:space="preserve"> plus a </w:t>
      </w:r>
      <w:r w:rsidRPr="00050A09">
        <w:rPr>
          <w:u w:val="single"/>
        </w:rPr>
        <w:t xml:space="preserve">part </w:t>
      </w:r>
      <w:proofErr w:type="gramStart"/>
      <w:r w:rsidRPr="00050A09">
        <w:rPr>
          <w:u w:val="single"/>
        </w:rPr>
        <w:t>of</w:t>
      </w:r>
      <w:r w:rsidRPr="00050A09">
        <w:t xml:space="preserve">  CT</w:t>
      </w:r>
      <w:proofErr w:type="gramEnd"/>
      <w:r w:rsidRPr="00050A09">
        <w:t xml:space="preserve"> </w:t>
      </w:r>
      <w:r w:rsidR="00050A09">
        <w:rPr>
          <w:rFonts w:ascii="MS Sans Serif" w:hAnsi="MS Sans Serif"/>
        </w:rPr>
        <w:t>0150.02.</w:t>
      </w:r>
    </w:p>
    <w:p w:rsidR="00685A23" w:rsidRDefault="00685A23"/>
    <w:p w:rsidR="00685A23" w:rsidRPr="00050A09" w:rsidRDefault="0082664F">
      <w:pPr>
        <w:pStyle w:val="a"/>
        <w:widowControl/>
        <w:numPr>
          <w:ilvl w:val="0"/>
          <w:numId w:val="2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0"/>
        </w:rPr>
      </w:pPr>
      <w:r w:rsidRPr="00050A09">
        <w:rPr>
          <w:sz w:val="20"/>
        </w:rPr>
        <w:t>0000</w:t>
      </w:r>
      <w:r w:rsidRPr="00050A09">
        <w:rPr>
          <w:sz w:val="20"/>
        </w:rPr>
        <w:tab/>
        <w:t xml:space="preserve">        Provincial Residual Area</w:t>
      </w:r>
    </w:p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p w:rsidR="00685A23" w:rsidRDefault="00685A23"/>
    <w:sectPr w:rsidR="00685A23" w:rsidSect="00685A23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1B9" w:rsidRDefault="005021B9">
      <w:r>
        <w:separator/>
      </w:r>
    </w:p>
  </w:endnote>
  <w:endnote w:type="continuationSeparator" w:id="0">
    <w:p w:rsidR="005021B9" w:rsidRDefault="00502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SRI US Forestry 2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B9" w:rsidRDefault="005021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021B9" w:rsidRDefault="005021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B9" w:rsidRDefault="005021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7BF">
      <w:rPr>
        <w:rStyle w:val="PageNumber"/>
        <w:noProof/>
      </w:rPr>
      <w:t>1</w:t>
    </w:r>
    <w:r>
      <w:rPr>
        <w:rStyle w:val="PageNumber"/>
      </w:rPr>
      <w:fldChar w:fldCharType="end"/>
    </w:r>
  </w:p>
  <w:p w:rsidR="005021B9" w:rsidRDefault="005021B9">
    <w:pPr>
      <w:pStyle w:val="Footer"/>
      <w:ind w:right="360"/>
    </w:pPr>
    <w:r>
      <w:t>20</w:t>
    </w:r>
    <w:r w:rsidR="00050A09">
      <w:t>1</w:t>
    </w:r>
    <w:r>
      <w:t>1-</w:t>
    </w:r>
    <w:r w:rsidR="00050A09">
      <w:t>2006</w:t>
    </w:r>
    <w:r>
      <w:t xml:space="preserve"> Census Tract Conversion File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1B9" w:rsidRDefault="005021B9">
      <w:r>
        <w:separator/>
      </w:r>
    </w:p>
  </w:footnote>
  <w:footnote w:type="continuationSeparator" w:id="0">
    <w:p w:rsidR="005021B9" w:rsidRDefault="00502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2E914DC"/>
    <w:multiLevelType w:val="multilevel"/>
    <w:tmpl w:val="0358A8FE"/>
    <w:lvl w:ilvl="0">
      <w:start w:val="689"/>
      <w:numFmt w:val="decimalZero"/>
      <w:lvlText w:val="%1"/>
      <w:lvlJc w:val="left"/>
      <w:pPr>
        <w:tabs>
          <w:tab w:val="num" w:pos="756"/>
        </w:tabs>
        <w:ind w:left="756" w:hanging="756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056"/>
        </w:tabs>
        <w:ind w:left="4056" w:hanging="75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6"/>
        </w:tabs>
        <w:ind w:left="7356" w:hanging="75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656"/>
        </w:tabs>
        <w:ind w:left="10656" w:hanging="7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6"/>
        </w:tabs>
        <w:ind w:left="13956" w:hanging="75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80"/>
        </w:tabs>
        <w:ind w:left="17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0"/>
        </w:tabs>
        <w:ind w:left="20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840"/>
        </w:tabs>
        <w:ind w:left="27840" w:hanging="1440"/>
      </w:pPr>
      <w:rPr>
        <w:rFonts w:hint="default"/>
      </w:rPr>
    </w:lvl>
  </w:abstractNum>
  <w:abstractNum w:abstractNumId="2">
    <w:nsid w:val="798064F0"/>
    <w:multiLevelType w:val="hybridMultilevel"/>
    <w:tmpl w:val="F1921F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E4D1E">
      <w:start w:val="646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1440" w:hanging="72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64F"/>
    <w:rsid w:val="00050A09"/>
    <w:rsid w:val="001E0D72"/>
    <w:rsid w:val="00314D04"/>
    <w:rsid w:val="005021B9"/>
    <w:rsid w:val="00685A23"/>
    <w:rsid w:val="007D17BF"/>
    <w:rsid w:val="0082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23"/>
    <w:rPr>
      <w:lang w:val="en-US"/>
    </w:rPr>
  </w:style>
  <w:style w:type="paragraph" w:styleId="Heading1">
    <w:name w:val="heading 1"/>
    <w:basedOn w:val="Normal"/>
    <w:next w:val="Normal"/>
    <w:qFormat/>
    <w:rsid w:val="00685A2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85A23"/>
    <w:pPr>
      <w:keepNext/>
      <w:tabs>
        <w:tab w:val="left" w:pos="930"/>
        <w:tab w:val="left" w:pos="2910"/>
        <w:tab w:val="left" w:pos="3810"/>
        <w:tab w:val="left" w:pos="4851"/>
        <w:tab w:val="left" w:pos="5892"/>
        <w:tab w:val="left" w:pos="6934"/>
        <w:tab w:val="left" w:pos="7975"/>
        <w:tab w:val="left" w:pos="9017"/>
        <w:tab w:val="left" w:pos="10058"/>
        <w:tab w:val="left" w:pos="11100"/>
      </w:tabs>
      <w:jc w:val="center"/>
      <w:outlineLvl w:val="1"/>
    </w:pPr>
    <w:rPr>
      <w:b/>
      <w:snapToGrid w:val="0"/>
      <w:color w:val="000000"/>
      <w:sz w:val="1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85A23"/>
    <w:rPr>
      <w:snapToGrid w:val="0"/>
      <w:lang w:eastAsia="en-US"/>
    </w:rPr>
  </w:style>
  <w:style w:type="paragraph" w:customStyle="1" w:styleId="a">
    <w:name w:val="_"/>
    <w:basedOn w:val="Normal"/>
    <w:rsid w:val="00685A23"/>
    <w:pPr>
      <w:widowControl w:val="0"/>
      <w:ind w:left="1080" w:hanging="360"/>
    </w:pPr>
    <w:rPr>
      <w:snapToGrid w:val="0"/>
      <w:sz w:val="24"/>
      <w:lang w:eastAsia="en-US"/>
    </w:rPr>
  </w:style>
  <w:style w:type="paragraph" w:styleId="Footer">
    <w:name w:val="footer"/>
    <w:basedOn w:val="Normal"/>
    <w:semiHidden/>
    <w:rsid w:val="00685A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85A23"/>
  </w:style>
  <w:style w:type="paragraph" w:styleId="Header">
    <w:name w:val="header"/>
    <w:basedOn w:val="Normal"/>
    <w:semiHidden/>
    <w:rsid w:val="00685A2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50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QUALITY STATEMENT</vt:lpstr>
    </vt:vector>
  </TitlesOfParts>
  <Company>STC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QUALITY STATEMENT</dc:title>
  <dc:creator>Geography Division</dc:creator>
  <cp:lastModifiedBy>Kelly Matier</cp:lastModifiedBy>
  <cp:revision>5</cp:revision>
  <cp:lastPrinted>2002-07-15T18:20:00Z</cp:lastPrinted>
  <dcterms:created xsi:type="dcterms:W3CDTF">2012-03-14T12:13:00Z</dcterms:created>
  <dcterms:modified xsi:type="dcterms:W3CDTF">2012-03-14T20:04:00Z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841759214</vt:i4>
  </property>
  <property fmtid="{D5CDD505-2E9C-101B-9397-08002B2CF9AE}" pid="3" name="_NewReviewCycle">
    <vt:lpwstr/>
  </property>
  <property fmtid="{D5CDD505-2E9C-101B-9397-08002B2CF9AE}" pid="4" name="_EmailSubject">
    <vt:lpwstr>concordance file between 2006 and 2011 census tracts - Canada</vt:lpwstr>
  </property>
  <property fmtid="{D5CDD505-2E9C-101B-9397-08002B2CF9AE}" pid="5" name="_AuthorEmail">
    <vt:lpwstr>geohelp@a.statcan.gc.ca</vt:lpwstr>
  </property>
  <property fmtid="{D5CDD505-2E9C-101B-9397-08002B2CF9AE}" pid="6" name="_AuthorEmailDisplayName">
    <vt:lpwstr>GEO HELP / INFO GEO</vt:lpwstr>
  </property>
  <property fmtid="{D5CDD505-2E9C-101B-9397-08002B2CF9AE}" pid="8" name="_PreviousAdHocReviewCycleID">
    <vt:i4>-1550500779</vt:i4>
  </property>
</Properties>
</file>